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30" w:rsidRPr="00692B37" w:rsidRDefault="00750F30" w:rsidP="00750F30">
      <w:pPr>
        <w:jc w:val="center"/>
        <w:rPr>
          <w:rFonts w:ascii="Times New Roman" w:hAnsi="Times New Roman"/>
          <w:b/>
        </w:rPr>
      </w:pPr>
      <w:r w:rsidRPr="00692B37">
        <w:rPr>
          <w:rFonts w:ascii="Times New Roman" w:hAnsi="Times New Roman"/>
          <w:b/>
        </w:rPr>
        <w:t>Response to Proposed Revisions to Class K Ordinance</w:t>
      </w:r>
    </w:p>
    <w:p w:rsidR="00DE6647" w:rsidRPr="00FC27C2" w:rsidRDefault="00DE6647" w:rsidP="00750F30">
      <w:pPr>
        <w:rPr>
          <w:rFonts w:ascii="Times New Roman" w:hAnsi="Times New Roman"/>
          <w:sz w:val="16"/>
        </w:rPr>
      </w:pPr>
    </w:p>
    <w:p w:rsidR="00DE6647" w:rsidRPr="00DE6647" w:rsidRDefault="00DE6647" w:rsidP="00750F30">
      <w:pPr>
        <w:rPr>
          <w:rFonts w:ascii="Times New Roman" w:hAnsi="Times New Roman"/>
        </w:rPr>
      </w:pPr>
      <w:r>
        <w:rPr>
          <w:rFonts w:ascii="Times New Roman" w:hAnsi="Times New Roman"/>
        </w:rPr>
        <w:t>The Me</w:t>
      </w:r>
      <w:r w:rsidR="004067CB">
        <w:rPr>
          <w:rFonts w:ascii="Times New Roman" w:hAnsi="Times New Roman"/>
        </w:rPr>
        <w:t xml:space="preserve">ndocino Board of Supervisors is looking to change our Class K Building Ordinance and require all manner of new building materials and techniques, despite the high cost, and despite the fact that California building regulations still offers amended options for owner-built rural dwellings. With the aim of preserving affordable housing options in our </w:t>
      </w:r>
      <w:r w:rsidR="00B16EAF">
        <w:rPr>
          <w:rFonts w:ascii="Times New Roman" w:hAnsi="Times New Roman"/>
        </w:rPr>
        <w:t>county</w:t>
      </w:r>
      <w:r w:rsidR="004067CB">
        <w:rPr>
          <w:rFonts w:ascii="Times New Roman" w:hAnsi="Times New Roman"/>
        </w:rPr>
        <w:t xml:space="preserve">, we’ve done a bit of research into California’s building codes, to better understand the issues and to offer a more educated </w:t>
      </w:r>
      <w:r w:rsidR="00B16EAF">
        <w:rPr>
          <w:rFonts w:ascii="Times New Roman" w:hAnsi="Times New Roman"/>
        </w:rPr>
        <w:t>defense of maintaining affordable and creative building opportunities in Mendocino.</w:t>
      </w:r>
    </w:p>
    <w:p w:rsidR="00750F30" w:rsidRPr="00FC27C2" w:rsidRDefault="00750F30" w:rsidP="00750F30">
      <w:pPr>
        <w:rPr>
          <w:rFonts w:ascii="Times New Roman" w:hAnsi="Times New Roman"/>
          <w:b/>
          <w:sz w:val="16"/>
        </w:rPr>
      </w:pPr>
    </w:p>
    <w:p w:rsidR="00750F30" w:rsidRPr="00692B37" w:rsidRDefault="00750F30" w:rsidP="00750F30">
      <w:pPr>
        <w:rPr>
          <w:rFonts w:ascii="Times New Roman" w:hAnsi="Times New Roman"/>
        </w:rPr>
      </w:pPr>
      <w:r w:rsidRPr="00692B37">
        <w:rPr>
          <w:rFonts w:ascii="Times New Roman" w:hAnsi="Times New Roman"/>
        </w:rPr>
        <w:t xml:space="preserve">The Class K Building Ordinance exists to “provide </w:t>
      </w:r>
      <w:r w:rsidRPr="00692B37">
        <w:rPr>
          <w:rFonts w:ascii="Times New Roman" w:hAnsi="Times New Roman"/>
          <w:i/>
        </w:rPr>
        <w:t>minimum</w:t>
      </w:r>
      <w:r w:rsidRPr="00692B37">
        <w:rPr>
          <w:rFonts w:ascii="Times New Roman" w:hAnsi="Times New Roman"/>
        </w:rPr>
        <w:t xml:space="preserve"> requirements for… limited density rural dwellings and appurtenant structures”</w:t>
      </w:r>
      <w:r w:rsidRPr="00692B37">
        <w:rPr>
          <w:rFonts w:ascii="Times New Roman" w:hAnsi="Times New Roman"/>
          <w:vertAlign w:val="superscript"/>
        </w:rPr>
        <w:t>1</w:t>
      </w:r>
      <w:r w:rsidRPr="00692B37">
        <w:rPr>
          <w:rFonts w:ascii="Times New Roman" w:hAnsi="Times New Roman"/>
        </w:rPr>
        <w:t xml:space="preserve"> and “to permit the use of ingenuity and preferences of the builder”.</w:t>
      </w:r>
      <w:r w:rsidRPr="00692B37">
        <w:rPr>
          <w:rFonts w:ascii="Times New Roman" w:hAnsi="Times New Roman"/>
          <w:vertAlign w:val="superscript"/>
        </w:rPr>
        <w:t>2</w:t>
      </w:r>
      <w:r w:rsidRPr="00692B37">
        <w:rPr>
          <w:rFonts w:ascii="Times New Roman" w:hAnsi="Times New Roman"/>
        </w:rPr>
        <w:t xml:space="preserve">  The Class K Ordinance further states that the adoption of these amended regulations “is reasonably necessary because …Mendocino County has a severe housing shortage. Low cost housing is especially hard to find in the County and the adoption of regulations for limited density rural dwellings will encourage the further construction of such dwellings. State law mandates the County of Mendocino to adopt a General Plan which makes adequate provisions for housing its citizens”.</w:t>
      </w:r>
      <w:r w:rsidRPr="00692B37">
        <w:rPr>
          <w:rFonts w:ascii="Times New Roman" w:hAnsi="Times New Roman"/>
          <w:vertAlign w:val="superscript"/>
        </w:rPr>
        <w:t>3</w:t>
      </w:r>
      <w:r w:rsidRPr="00692B37">
        <w:rPr>
          <w:rFonts w:ascii="Times New Roman" w:hAnsi="Times New Roman"/>
        </w:rPr>
        <w:t xml:space="preserve">  And finally, these amended building regulations are “necessary so that County residents may be provided housing at a cost affordable to themselves and to the county of Mendocino”.</w:t>
      </w:r>
      <w:r w:rsidRPr="00692B37">
        <w:rPr>
          <w:rFonts w:ascii="Times New Roman" w:hAnsi="Times New Roman"/>
          <w:vertAlign w:val="superscript"/>
        </w:rPr>
        <w:t>4</w:t>
      </w:r>
    </w:p>
    <w:p w:rsidR="00750F30" w:rsidRPr="00692B37" w:rsidRDefault="00750F30" w:rsidP="00750F30">
      <w:pPr>
        <w:rPr>
          <w:rFonts w:ascii="Times New Roman" w:hAnsi="Times New Roman"/>
          <w:sz w:val="16"/>
        </w:rPr>
      </w:pPr>
    </w:p>
    <w:p w:rsidR="00750F30" w:rsidRPr="0067067E" w:rsidRDefault="00750F30" w:rsidP="00750F30">
      <w:pPr>
        <w:rPr>
          <w:rFonts w:ascii="Times" w:hAnsi="Times"/>
          <w:sz w:val="20"/>
          <w:szCs w:val="20"/>
        </w:rPr>
      </w:pPr>
      <w:r w:rsidRPr="00692B37">
        <w:rPr>
          <w:rFonts w:ascii="Times New Roman" w:hAnsi="Times New Roman"/>
        </w:rPr>
        <w:t xml:space="preserve">These articulate arguments, based on and sanctioned by California’s </w:t>
      </w:r>
      <w:r>
        <w:rPr>
          <w:rFonts w:ascii="Times New Roman" w:hAnsi="Times New Roman"/>
        </w:rPr>
        <w:t>Title 24 Building Standards Code and</w:t>
      </w:r>
      <w:r>
        <w:rPr>
          <w:rFonts w:ascii="Times" w:hAnsi="Times"/>
          <w:sz w:val="20"/>
          <w:szCs w:val="20"/>
        </w:rPr>
        <w:t xml:space="preserve"> </w:t>
      </w:r>
      <w:r w:rsidRPr="00692B37">
        <w:rPr>
          <w:rFonts w:ascii="Times New Roman" w:hAnsi="Times New Roman"/>
        </w:rPr>
        <w:t>Title 25 Housing and Community Development Regulations, were written in the 1980s by our County Supervisors to explain the need for amended building regulations that support California affordable housing mandates and help address Mendocino housing shortages. In the nearly 40</w:t>
      </w:r>
      <w:r>
        <w:rPr>
          <w:rFonts w:ascii="Times New Roman" w:hAnsi="Times New Roman"/>
        </w:rPr>
        <w:t xml:space="preserve"> years since this was </w:t>
      </w:r>
      <w:r w:rsidRPr="00692B37">
        <w:rPr>
          <w:rFonts w:ascii="Times New Roman" w:hAnsi="Times New Roman"/>
        </w:rPr>
        <w:t>published, our housing needs have become more extreme, and our state government more adamant that counties must make affordable housing options available to their residents or face legal consequences.</w:t>
      </w:r>
      <w:r w:rsidRPr="00692B37">
        <w:rPr>
          <w:rFonts w:ascii="Times New Roman" w:hAnsi="Times New Roman"/>
          <w:vertAlign w:val="superscript"/>
        </w:rPr>
        <w:t xml:space="preserve">5 </w:t>
      </w:r>
      <w:r>
        <w:rPr>
          <w:rFonts w:ascii="Times New Roman" w:hAnsi="Times New Roman"/>
          <w:vertAlign w:val="superscript"/>
        </w:rPr>
        <w:t xml:space="preserve"> </w:t>
      </w:r>
      <w:r>
        <w:rPr>
          <w:rFonts w:ascii="Times New Roman" w:hAnsi="Times New Roman"/>
        </w:rPr>
        <w:t>Today’s Titles 24 and Title 25 still endorse</w:t>
      </w:r>
      <w:r w:rsidRPr="00692B37">
        <w:rPr>
          <w:rFonts w:ascii="Times New Roman" w:hAnsi="Times New Roman"/>
        </w:rPr>
        <w:t xml:space="preserve"> those Class K goals.</w:t>
      </w:r>
    </w:p>
    <w:p w:rsidR="00750F30" w:rsidRPr="00692B37" w:rsidRDefault="00750F30" w:rsidP="00750F30">
      <w:pPr>
        <w:rPr>
          <w:rFonts w:ascii="Times New Roman" w:hAnsi="Times New Roman"/>
          <w:sz w:val="16"/>
        </w:rPr>
      </w:pPr>
    </w:p>
    <w:p w:rsidR="00750F30" w:rsidRPr="00692B37" w:rsidRDefault="00FC27C2" w:rsidP="00750F30">
      <w:pPr>
        <w:rPr>
          <w:rFonts w:ascii="Times New Roman" w:hAnsi="Times New Roman"/>
        </w:rPr>
      </w:pPr>
      <w:r>
        <w:rPr>
          <w:rFonts w:ascii="Times New Roman" w:hAnsi="Times New Roman"/>
        </w:rPr>
        <w:t>On February 6</w:t>
      </w:r>
      <w:r w:rsidRPr="00FC27C2">
        <w:rPr>
          <w:rFonts w:ascii="Times New Roman" w:hAnsi="Times New Roman"/>
          <w:vertAlign w:val="superscript"/>
        </w:rPr>
        <w:t>th</w:t>
      </w:r>
      <w:r>
        <w:rPr>
          <w:rFonts w:ascii="Times New Roman" w:hAnsi="Times New Roman"/>
        </w:rPr>
        <w:t>, the</w:t>
      </w:r>
      <w:r w:rsidR="00750F30" w:rsidRPr="00692B37">
        <w:rPr>
          <w:rFonts w:ascii="Times New Roman" w:hAnsi="Times New Roman"/>
        </w:rPr>
        <w:t xml:space="preserve"> Board of Supervisors </w:t>
      </w:r>
      <w:r>
        <w:rPr>
          <w:rFonts w:ascii="Times New Roman" w:hAnsi="Times New Roman"/>
        </w:rPr>
        <w:t>will be</w:t>
      </w:r>
      <w:r w:rsidR="00750F30" w:rsidRPr="00692B37">
        <w:rPr>
          <w:rFonts w:ascii="Times New Roman" w:hAnsi="Times New Roman"/>
        </w:rPr>
        <w:t xml:space="preserve"> entertaining proposals to change Class K </w:t>
      </w:r>
      <w:r>
        <w:rPr>
          <w:rFonts w:ascii="Times New Roman" w:hAnsi="Times New Roman"/>
        </w:rPr>
        <w:t>in ways that would</w:t>
      </w:r>
      <w:r w:rsidR="00750F30" w:rsidRPr="00692B37">
        <w:rPr>
          <w:rFonts w:ascii="Times New Roman" w:hAnsi="Times New Roman"/>
        </w:rPr>
        <w:t xml:space="preserve"> significantly hamper owner/builders from c</w:t>
      </w:r>
      <w:r>
        <w:rPr>
          <w:rFonts w:ascii="Times New Roman" w:hAnsi="Times New Roman"/>
        </w:rPr>
        <w:t>onstructing affordable housing. W</w:t>
      </w:r>
      <w:r w:rsidR="00750F30" w:rsidRPr="00692B37">
        <w:rPr>
          <w:rFonts w:ascii="Times New Roman" w:hAnsi="Times New Roman"/>
        </w:rPr>
        <w:t xml:space="preserve">e would like to address the proposed items point-by-point to make certain, while still </w:t>
      </w:r>
      <w:r>
        <w:rPr>
          <w:rFonts w:ascii="Times New Roman" w:hAnsi="Times New Roman"/>
        </w:rPr>
        <w:t>adhering</w:t>
      </w:r>
      <w:r w:rsidR="00750F30" w:rsidRPr="00692B37">
        <w:rPr>
          <w:rFonts w:ascii="Times New Roman" w:hAnsi="Times New Roman"/>
        </w:rPr>
        <w:t xml:space="preserve"> to the State’s health and safety standards, that no unnecessary regulations are added, no undo costs are incurred, and no building hurdles imposed that might deepen our housing crisis and make our cou</w:t>
      </w:r>
      <w:r>
        <w:rPr>
          <w:rFonts w:ascii="Times New Roman" w:hAnsi="Times New Roman"/>
        </w:rPr>
        <w:t>nty vulnerable to</w:t>
      </w:r>
      <w:r w:rsidR="00750F30" w:rsidRPr="00692B37">
        <w:rPr>
          <w:rFonts w:ascii="Times New Roman" w:hAnsi="Times New Roman"/>
        </w:rPr>
        <w:t xml:space="preserve"> penalties and legal challenges.</w:t>
      </w:r>
    </w:p>
    <w:p w:rsidR="00750F30" w:rsidRPr="002D4920" w:rsidRDefault="00750F30" w:rsidP="00750F30">
      <w:pPr>
        <w:rPr>
          <w:rFonts w:ascii="Times New Roman" w:hAnsi="Times New Roman"/>
          <w:sz w:val="8"/>
        </w:rPr>
      </w:pPr>
    </w:p>
    <w:p w:rsidR="00750F30" w:rsidRPr="00FC27C2" w:rsidRDefault="00750F30" w:rsidP="00750F30">
      <w:pPr>
        <w:jc w:val="center"/>
        <w:rPr>
          <w:rFonts w:ascii="Times New Roman" w:hAnsi="Times New Roman"/>
          <w:sz w:val="16"/>
        </w:rPr>
      </w:pPr>
      <w:r w:rsidRPr="00FC27C2">
        <w:rPr>
          <w:rFonts w:ascii="Times New Roman" w:hAnsi="Times New Roman"/>
          <w:sz w:val="16"/>
        </w:rPr>
        <w:t>****</w:t>
      </w:r>
    </w:p>
    <w:p w:rsidR="00750F30" w:rsidRPr="002D4920" w:rsidRDefault="00750F30" w:rsidP="00750F30">
      <w:pPr>
        <w:rPr>
          <w:rFonts w:ascii="Times New Roman" w:hAnsi="Times New Roman"/>
          <w:sz w:val="8"/>
        </w:rPr>
      </w:pPr>
    </w:p>
    <w:p w:rsidR="00750F30" w:rsidRPr="00692B37" w:rsidRDefault="00750F30" w:rsidP="00750F30">
      <w:pPr>
        <w:rPr>
          <w:rFonts w:ascii="Times New Roman" w:hAnsi="Times New Roman"/>
          <w:i/>
        </w:rPr>
      </w:pPr>
      <w:r w:rsidRPr="00692B37">
        <w:rPr>
          <w:rFonts w:ascii="Times New Roman" w:hAnsi="Times New Roman"/>
          <w:i/>
        </w:rPr>
        <w:t>A new single family residence shall be limited to 2,000 square feet of habitable space under Class K. An additional 800 square foot attachment would be permitted.</w:t>
      </w:r>
    </w:p>
    <w:p w:rsidR="00750F30" w:rsidRPr="00692B37" w:rsidRDefault="00750F30" w:rsidP="00750F30">
      <w:pPr>
        <w:pStyle w:val="ListParagraph"/>
        <w:numPr>
          <w:ilvl w:val="0"/>
          <w:numId w:val="2"/>
        </w:numPr>
        <w:rPr>
          <w:rFonts w:ascii="Times New Roman" w:hAnsi="Times New Roman"/>
        </w:rPr>
      </w:pPr>
      <w:r w:rsidRPr="00692B37">
        <w:rPr>
          <w:rFonts w:ascii="Times New Roman" w:hAnsi="Times New Roman"/>
        </w:rPr>
        <w:t>This is a good idea. Capping the size at 2000 ft</w:t>
      </w:r>
      <w:r w:rsidRPr="00692B37">
        <w:rPr>
          <w:rFonts w:ascii="Times New Roman" w:hAnsi="Times New Roman"/>
          <w:vertAlign w:val="superscript"/>
        </w:rPr>
        <w:t>2</w:t>
      </w:r>
      <w:r w:rsidRPr="00692B37">
        <w:rPr>
          <w:rFonts w:ascii="Times New Roman" w:hAnsi="Times New Roman"/>
        </w:rPr>
        <w:t xml:space="preserve"> is quite compatible with affordable housing goals, and limiting the size will significantly lower fire risks.</w:t>
      </w:r>
      <w:r w:rsidRPr="00692B37">
        <w:rPr>
          <w:rFonts w:ascii="Times New Roman" w:hAnsi="Times New Roman"/>
          <w:vertAlign w:val="superscript"/>
        </w:rPr>
        <w:t>6</w:t>
      </w:r>
    </w:p>
    <w:p w:rsidR="00750F30" w:rsidRPr="00692B37" w:rsidRDefault="00750F30" w:rsidP="00750F30">
      <w:pPr>
        <w:pStyle w:val="ListParagraph"/>
        <w:numPr>
          <w:ilvl w:val="0"/>
          <w:numId w:val="2"/>
        </w:numPr>
        <w:rPr>
          <w:rFonts w:ascii="Times New Roman" w:hAnsi="Times New Roman"/>
        </w:rPr>
      </w:pPr>
      <w:r w:rsidRPr="00692B37">
        <w:rPr>
          <w:rFonts w:ascii="Times New Roman" w:hAnsi="Times New Roman"/>
        </w:rPr>
        <w:t>This would, furthermore, close a loophole for people who would take advantage of Class K and create fire hazards by constructing excessively large structures.</w:t>
      </w:r>
    </w:p>
    <w:p w:rsidR="00750F30" w:rsidRPr="00FC27C2" w:rsidRDefault="00750F30" w:rsidP="00750F30">
      <w:pPr>
        <w:rPr>
          <w:rFonts w:ascii="Times New Roman" w:hAnsi="Times New Roman"/>
          <w:sz w:val="16"/>
        </w:rPr>
      </w:pPr>
    </w:p>
    <w:p w:rsidR="00FC27C2" w:rsidRPr="00692B37" w:rsidRDefault="00FC27C2" w:rsidP="00FC27C2">
      <w:pPr>
        <w:rPr>
          <w:rFonts w:ascii="Times New Roman" w:hAnsi="Times New Roman"/>
          <w:i/>
        </w:rPr>
      </w:pPr>
      <w:r w:rsidRPr="00692B37">
        <w:rPr>
          <w:rFonts w:ascii="Times New Roman" w:hAnsi="Times New Roman"/>
          <w:i/>
        </w:rPr>
        <w:t>A perimeter foundation, as required by California Building Code (CBC), shall be required under all new single family residences, and all accessory structures greater than one story in height, unless otherwise determined by an engineer.</w:t>
      </w:r>
    </w:p>
    <w:p w:rsidR="00FC27C2" w:rsidRPr="00692B37" w:rsidRDefault="00FC27C2" w:rsidP="00FC27C2">
      <w:pPr>
        <w:pStyle w:val="ListParagraph"/>
        <w:numPr>
          <w:ilvl w:val="0"/>
          <w:numId w:val="1"/>
        </w:numPr>
        <w:rPr>
          <w:rFonts w:ascii="Times New Roman" w:hAnsi="Times New Roman"/>
          <w:iCs/>
        </w:rPr>
      </w:pPr>
      <w:r w:rsidRPr="00692B37">
        <w:rPr>
          <w:rFonts w:ascii="Times New Roman" w:hAnsi="Times New Roman"/>
          <w:iCs/>
        </w:rPr>
        <w:t xml:space="preserve">The California Residential Code [Title 24, Part 2.5, Chapter 9, R301. 1.1.1] </w:t>
      </w:r>
      <w:r w:rsidRPr="00692B37">
        <w:rPr>
          <w:rFonts w:ascii="Times New Roman" w:hAnsi="Times New Roman"/>
          <w:i/>
          <w:iCs/>
        </w:rPr>
        <w:t>specifically states</w:t>
      </w:r>
      <w:r w:rsidRPr="00692B37">
        <w:rPr>
          <w:rFonts w:ascii="Times New Roman" w:hAnsi="Times New Roman"/>
          <w:iCs/>
        </w:rPr>
        <w:t xml:space="preserve"> that for </w:t>
      </w:r>
      <w:r w:rsidRPr="00692B37">
        <w:rPr>
          <w:rFonts w:ascii="Times New Roman" w:hAnsi="Times New Roman" w:cs="Courier"/>
          <w:color w:val="333333"/>
          <w:szCs w:val="13"/>
        </w:rPr>
        <w:t>limited-density owner-built rural dwellings,</w:t>
      </w:r>
      <w:r w:rsidRPr="00692B37">
        <w:rPr>
          <w:rFonts w:ascii="Times New Roman" w:hAnsi="Times New Roman"/>
        </w:rPr>
        <w:t xml:space="preserve"> “Pier foundations, stone masonry footings and foundations, pressure-treated lumber, poles or equivalent foundation materials or designs may be used provided that bearing is sufficient”.</w:t>
      </w:r>
      <w:r w:rsidRPr="00692B37">
        <w:rPr>
          <w:rFonts w:ascii="Times New Roman" w:hAnsi="Times New Roman"/>
          <w:vertAlign w:val="superscript"/>
        </w:rPr>
        <w:t>17</w:t>
      </w:r>
      <w:r w:rsidRPr="00692B37">
        <w:rPr>
          <w:rFonts w:ascii="Times New Roman" w:hAnsi="Times New Roman"/>
        </w:rPr>
        <w:t xml:space="preserve"> </w:t>
      </w:r>
      <w:r w:rsidRPr="00692B37">
        <w:rPr>
          <w:rFonts w:ascii="Times New Roman" w:hAnsi="Times New Roman"/>
          <w:iCs/>
        </w:rPr>
        <w:t xml:space="preserve"> </w:t>
      </w:r>
    </w:p>
    <w:p w:rsidR="00FC27C2" w:rsidRDefault="00FC27C2" w:rsidP="00FC27C2">
      <w:pPr>
        <w:pStyle w:val="ListParagraph"/>
        <w:numPr>
          <w:ilvl w:val="0"/>
          <w:numId w:val="1"/>
        </w:numPr>
        <w:rPr>
          <w:rFonts w:ascii="Times New Roman" w:hAnsi="Times New Roman"/>
          <w:iCs/>
        </w:rPr>
      </w:pPr>
      <w:r w:rsidRPr="00692B37">
        <w:rPr>
          <w:rFonts w:ascii="Times New Roman" w:hAnsi="Times New Roman"/>
          <w:iCs/>
        </w:rPr>
        <w:t xml:space="preserve">So perimeter foundations are NOT required by CBC, and owner-builders of rural dwellings seeking affordable housing </w:t>
      </w:r>
      <w:r w:rsidRPr="00692B37">
        <w:rPr>
          <w:rFonts w:ascii="Times New Roman" w:hAnsi="Times New Roman"/>
          <w:i/>
          <w:iCs/>
        </w:rPr>
        <w:t>may</w:t>
      </w:r>
      <w:r w:rsidRPr="00692B37">
        <w:rPr>
          <w:rFonts w:ascii="Times New Roman" w:hAnsi="Times New Roman"/>
          <w:iCs/>
        </w:rPr>
        <w:t xml:space="preserve"> opt for less expensive foundation types.  </w:t>
      </w:r>
    </w:p>
    <w:p w:rsidR="00750F30" w:rsidRPr="00692B37" w:rsidRDefault="00750F30" w:rsidP="00750F30">
      <w:pPr>
        <w:rPr>
          <w:rFonts w:ascii="Times New Roman" w:hAnsi="Times New Roman"/>
          <w:i/>
        </w:rPr>
      </w:pPr>
      <w:r w:rsidRPr="00692B37">
        <w:rPr>
          <w:rFonts w:ascii="Times New Roman" w:hAnsi="Times New Roman"/>
          <w:i/>
        </w:rPr>
        <w:t>Wildland Urban Interface (WUI) requirements apply to all new family residential structures.</w:t>
      </w:r>
    </w:p>
    <w:p w:rsidR="00750F30" w:rsidRPr="00692B37" w:rsidRDefault="00750F30" w:rsidP="00750F30">
      <w:pPr>
        <w:pStyle w:val="ListParagraph"/>
        <w:numPr>
          <w:ilvl w:val="0"/>
          <w:numId w:val="1"/>
        </w:numPr>
        <w:rPr>
          <w:rFonts w:ascii="Times New Roman" w:hAnsi="Times New Roman"/>
        </w:rPr>
      </w:pPr>
      <w:r w:rsidRPr="00692B37">
        <w:rPr>
          <w:rFonts w:ascii="Times New Roman" w:hAnsi="Times New Roman"/>
          <w:iCs/>
        </w:rPr>
        <w:t xml:space="preserve">Title 24, Part 2.5, Chapter 9 specifies that for </w:t>
      </w:r>
      <w:r w:rsidRPr="00692B37">
        <w:rPr>
          <w:rFonts w:ascii="Times New Roman" w:hAnsi="Times New Roman" w:cs="Courier"/>
          <w:color w:val="333333"/>
          <w:szCs w:val="13"/>
        </w:rPr>
        <w:t>limited-density owner-built rural dwellings, owner-produced or used lumber may be used.</w:t>
      </w:r>
      <w:r w:rsidRPr="00692B37">
        <w:rPr>
          <w:rFonts w:ascii="Times New Roman" w:hAnsi="Times New Roman"/>
          <w:vertAlign w:val="superscript"/>
        </w:rPr>
        <w:t>7</w:t>
      </w:r>
    </w:p>
    <w:p w:rsidR="00750F30" w:rsidRPr="00692B37" w:rsidRDefault="00750F30" w:rsidP="00750F30">
      <w:pPr>
        <w:pStyle w:val="ListParagraph"/>
        <w:numPr>
          <w:ilvl w:val="0"/>
          <w:numId w:val="1"/>
        </w:numPr>
        <w:rPr>
          <w:rFonts w:ascii="Times New Roman" w:hAnsi="Times New Roman"/>
        </w:rPr>
      </w:pPr>
      <w:r w:rsidRPr="00692B37">
        <w:rPr>
          <w:rFonts w:ascii="Times New Roman" w:hAnsi="Times New Roman"/>
        </w:rPr>
        <w:t xml:space="preserve">Class K and Title 25 encourage and support ingenuity and builder preferences. </w:t>
      </w:r>
    </w:p>
    <w:p w:rsidR="00750F30" w:rsidRPr="00692B37" w:rsidRDefault="00750F30" w:rsidP="00750F30">
      <w:pPr>
        <w:pStyle w:val="ListParagraph"/>
        <w:numPr>
          <w:ilvl w:val="0"/>
          <w:numId w:val="1"/>
        </w:numPr>
        <w:rPr>
          <w:rFonts w:ascii="Times New Roman" w:hAnsi="Times New Roman"/>
        </w:rPr>
      </w:pPr>
      <w:r w:rsidRPr="00692B37">
        <w:rPr>
          <w:rFonts w:ascii="Times New Roman" w:hAnsi="Times New Roman"/>
        </w:rPr>
        <w:t>Title 24 Building Codes allow for alternative methods of achieving the goals of the minimum standards.</w:t>
      </w:r>
      <w:r w:rsidRPr="00692B37">
        <w:rPr>
          <w:rFonts w:ascii="Times New Roman" w:hAnsi="Times New Roman"/>
          <w:vertAlign w:val="superscript"/>
        </w:rPr>
        <w:t>8</w:t>
      </w:r>
    </w:p>
    <w:p w:rsidR="00750F30" w:rsidRPr="00692B37" w:rsidRDefault="00750F30" w:rsidP="00750F30">
      <w:pPr>
        <w:pStyle w:val="ListParagraph"/>
        <w:numPr>
          <w:ilvl w:val="0"/>
          <w:numId w:val="1"/>
        </w:numPr>
        <w:rPr>
          <w:rFonts w:ascii="Times New Roman" w:hAnsi="Times New Roman"/>
        </w:rPr>
      </w:pPr>
      <w:r w:rsidRPr="00692B37">
        <w:rPr>
          <w:rFonts w:ascii="Times New Roman" w:hAnsi="Times New Roman"/>
        </w:rPr>
        <w:t>The Building Department should have educational literature to share with Class K applicants on standard and alternative building materials that limit fire spread.</w:t>
      </w:r>
    </w:p>
    <w:p w:rsidR="00750F30" w:rsidRPr="00692B37" w:rsidRDefault="00750F30" w:rsidP="00750F30">
      <w:pPr>
        <w:pStyle w:val="ListParagraph"/>
        <w:numPr>
          <w:ilvl w:val="0"/>
          <w:numId w:val="3"/>
        </w:numPr>
        <w:rPr>
          <w:rFonts w:ascii="Times New Roman" w:hAnsi="Times New Roman"/>
        </w:rPr>
      </w:pPr>
      <w:r w:rsidRPr="00692B37">
        <w:rPr>
          <w:rFonts w:ascii="Times New Roman" w:hAnsi="Times New Roman"/>
        </w:rPr>
        <w:t xml:space="preserve">Any costly building requirements should be offset by property tax incentives. </w:t>
      </w:r>
    </w:p>
    <w:p w:rsidR="00750F30" w:rsidRPr="00FC27C2" w:rsidRDefault="00750F30" w:rsidP="00750F30">
      <w:pPr>
        <w:rPr>
          <w:rFonts w:ascii="Times New Roman" w:hAnsi="Times New Roman"/>
          <w:sz w:val="16"/>
        </w:rPr>
      </w:pPr>
    </w:p>
    <w:p w:rsidR="00750F30" w:rsidRPr="00692B37" w:rsidRDefault="00750F30" w:rsidP="00750F30">
      <w:pPr>
        <w:rPr>
          <w:rFonts w:ascii="Times New Roman" w:hAnsi="Times New Roman"/>
          <w:i/>
        </w:rPr>
      </w:pPr>
      <w:r w:rsidRPr="00692B37">
        <w:rPr>
          <w:rFonts w:ascii="Times New Roman" w:hAnsi="Times New Roman"/>
          <w:i/>
        </w:rPr>
        <w:t>All future Class K structures come into compliance with CA State Law and require automatic fire sprinklers in all single family residential structures.</w:t>
      </w:r>
    </w:p>
    <w:p w:rsidR="00750F30" w:rsidRPr="00692B37" w:rsidRDefault="00750F30" w:rsidP="00750F30">
      <w:pPr>
        <w:pStyle w:val="ListParagraph"/>
        <w:numPr>
          <w:ilvl w:val="0"/>
          <w:numId w:val="1"/>
        </w:numPr>
        <w:rPr>
          <w:rFonts w:ascii="Times New Roman" w:hAnsi="Times New Roman"/>
        </w:rPr>
      </w:pPr>
      <w:r w:rsidRPr="00692B37">
        <w:rPr>
          <w:rFonts w:ascii="Times New Roman" w:hAnsi="Times New Roman"/>
        </w:rPr>
        <w:t>There are many ways to reduce fire risk, but sprinkler systems are one of the more costly, adding $10,000- $14,000 or more to construction costs (for a 2000 ft</w:t>
      </w:r>
      <w:r w:rsidRPr="00692B37">
        <w:rPr>
          <w:rFonts w:ascii="Times New Roman" w:hAnsi="Times New Roman"/>
          <w:vertAlign w:val="superscript"/>
        </w:rPr>
        <w:t>2</w:t>
      </w:r>
      <w:r w:rsidRPr="00692B37">
        <w:rPr>
          <w:rFonts w:ascii="Times New Roman" w:hAnsi="Times New Roman"/>
        </w:rPr>
        <w:t xml:space="preserve"> home) and </w:t>
      </w:r>
      <w:r>
        <w:rPr>
          <w:rFonts w:ascii="Times New Roman" w:hAnsi="Times New Roman"/>
        </w:rPr>
        <w:t xml:space="preserve">requiring them </w:t>
      </w:r>
      <w:r w:rsidRPr="00692B37">
        <w:rPr>
          <w:rFonts w:ascii="Times New Roman" w:hAnsi="Times New Roman"/>
        </w:rPr>
        <w:t>is therefore not in keeping with CA affordable housing goals.</w:t>
      </w:r>
    </w:p>
    <w:p w:rsidR="00750F30" w:rsidRPr="00692B37" w:rsidRDefault="00750F30" w:rsidP="00750F30">
      <w:pPr>
        <w:pStyle w:val="ListParagraph"/>
        <w:numPr>
          <w:ilvl w:val="0"/>
          <w:numId w:val="1"/>
        </w:numPr>
        <w:rPr>
          <w:rFonts w:ascii="Times New Roman" w:hAnsi="Times New Roman"/>
        </w:rPr>
      </w:pPr>
      <w:r w:rsidRPr="00692B37">
        <w:rPr>
          <w:rFonts w:ascii="Times New Roman" w:hAnsi="Times New Roman"/>
        </w:rPr>
        <w:t xml:space="preserve">Title 25 specifies that </w:t>
      </w:r>
      <w:r w:rsidRPr="00692B37">
        <w:rPr>
          <w:rFonts w:ascii="Times New Roman" w:hAnsi="Times New Roman"/>
          <w:color w:val="212121"/>
          <w:szCs w:val="16"/>
        </w:rPr>
        <w:t>limited density owner-built rural dwellings are to be allowed to use their ingenuity in the pursuit of health and safety. Title 25, Article 8’s purpose is to facilitate alternative approaches to meet building health and safety goals.</w:t>
      </w:r>
      <w:r w:rsidRPr="00692B37">
        <w:rPr>
          <w:rFonts w:ascii="Times New Roman" w:hAnsi="Times New Roman"/>
          <w:vertAlign w:val="superscript"/>
        </w:rPr>
        <w:t>9</w:t>
      </w:r>
    </w:p>
    <w:p w:rsidR="00750F30" w:rsidRPr="00692B37" w:rsidRDefault="00750F30" w:rsidP="00750F30">
      <w:pPr>
        <w:pStyle w:val="ListParagraph"/>
        <w:numPr>
          <w:ilvl w:val="0"/>
          <w:numId w:val="1"/>
        </w:numPr>
        <w:rPr>
          <w:rFonts w:ascii="Times New Roman" w:hAnsi="Times New Roman"/>
        </w:rPr>
      </w:pPr>
      <w:r w:rsidRPr="00692B37">
        <w:rPr>
          <w:rFonts w:ascii="Times New Roman" w:hAnsi="Times New Roman"/>
        </w:rPr>
        <w:t>The leading advocate for fire sprinklers is the National Fire Protection Association (NFPA), a trade union that was formed in 1896 for the express purpose of lobbying for fire sprinkler systems!</w:t>
      </w:r>
      <w:r w:rsidRPr="00692B37">
        <w:rPr>
          <w:rFonts w:ascii="Times New Roman" w:hAnsi="Times New Roman"/>
          <w:vertAlign w:val="superscript"/>
        </w:rPr>
        <w:t xml:space="preserve">10 </w:t>
      </w:r>
      <w:r w:rsidRPr="00692B37">
        <w:rPr>
          <w:rFonts w:ascii="Times New Roman" w:hAnsi="Times New Roman"/>
        </w:rPr>
        <w:t>They keep strong statistics on fires and deaths, but they no longer record and report instances of sprinkler failure.</w:t>
      </w:r>
      <w:r w:rsidRPr="00692B37">
        <w:rPr>
          <w:rFonts w:ascii="Times New Roman" w:hAnsi="Times New Roman"/>
          <w:vertAlign w:val="superscript"/>
        </w:rPr>
        <w:t>11</w:t>
      </w:r>
      <w:r w:rsidRPr="00692B37">
        <w:rPr>
          <w:rFonts w:ascii="Times New Roman" w:hAnsi="Times New Roman"/>
        </w:rPr>
        <w:t xml:space="preserve"> They are a biased source.</w:t>
      </w:r>
    </w:p>
    <w:p w:rsidR="00750F30" w:rsidRPr="00692B37" w:rsidRDefault="00750F30" w:rsidP="00750F30">
      <w:pPr>
        <w:pStyle w:val="ListParagraph"/>
        <w:numPr>
          <w:ilvl w:val="0"/>
          <w:numId w:val="1"/>
        </w:numPr>
        <w:rPr>
          <w:rFonts w:ascii="Times New Roman" w:hAnsi="Times New Roman"/>
        </w:rPr>
      </w:pPr>
      <w:r w:rsidRPr="00692B37">
        <w:rPr>
          <w:rFonts w:ascii="Times New Roman" w:hAnsi="Times New Roman"/>
        </w:rPr>
        <w:t xml:space="preserve">California is one of only three states that require fire sprinkler systems for standard residential construction, 31 states have no fire sprinklers legislation, and a whopping 17 states that </w:t>
      </w:r>
      <w:r w:rsidRPr="00692B37">
        <w:rPr>
          <w:rFonts w:ascii="Times New Roman" w:hAnsi="Times New Roman"/>
          <w:i/>
        </w:rPr>
        <w:t>actually prohibit</w:t>
      </w:r>
      <w:r w:rsidRPr="00692B37">
        <w:rPr>
          <w:rFonts w:ascii="Times New Roman" w:hAnsi="Times New Roman"/>
        </w:rPr>
        <w:t xml:space="preserve"> state and county requirements of fire sprinklers!</w:t>
      </w:r>
      <w:r w:rsidRPr="00692B37">
        <w:rPr>
          <w:rFonts w:ascii="Times New Roman" w:hAnsi="Times New Roman"/>
          <w:vertAlign w:val="superscript"/>
        </w:rPr>
        <w:t>12</w:t>
      </w:r>
      <w:r w:rsidRPr="00692B37">
        <w:rPr>
          <w:rFonts w:ascii="Times New Roman" w:hAnsi="Times New Roman"/>
        </w:rPr>
        <w:t xml:space="preserve"> </w:t>
      </w:r>
    </w:p>
    <w:p w:rsidR="00750F30" w:rsidRPr="00692B37" w:rsidRDefault="00750F30" w:rsidP="00750F30">
      <w:pPr>
        <w:pStyle w:val="ListParagraph"/>
        <w:numPr>
          <w:ilvl w:val="0"/>
          <w:numId w:val="1"/>
        </w:numPr>
        <w:rPr>
          <w:rFonts w:ascii="Times New Roman" w:hAnsi="Times New Roman"/>
        </w:rPr>
      </w:pPr>
      <w:r w:rsidRPr="00692B37">
        <w:rPr>
          <w:rFonts w:ascii="Times New Roman" w:hAnsi="Times New Roman"/>
        </w:rPr>
        <w:t>Indoor fire sprinklers have no impact on wild land fires.</w:t>
      </w:r>
    </w:p>
    <w:p w:rsidR="00750F30" w:rsidRPr="00692B37" w:rsidRDefault="00750F30" w:rsidP="00750F30">
      <w:pPr>
        <w:pStyle w:val="ListParagraph"/>
        <w:numPr>
          <w:ilvl w:val="0"/>
          <w:numId w:val="1"/>
        </w:numPr>
        <w:rPr>
          <w:rFonts w:ascii="Times New Roman" w:hAnsi="Times New Roman"/>
        </w:rPr>
      </w:pPr>
      <w:r w:rsidRPr="00692B37">
        <w:rPr>
          <w:rFonts w:ascii="Times New Roman" w:hAnsi="Times New Roman"/>
        </w:rPr>
        <w:t>Multiple other factors can contribute to flammability. House size is a key factor, and a square footage cap, if adopted, will greatly lower the risk of adverse effects of fire.</w:t>
      </w:r>
      <w:r w:rsidRPr="00692B37">
        <w:rPr>
          <w:rFonts w:ascii="Times New Roman" w:hAnsi="Times New Roman"/>
          <w:vertAlign w:val="superscript"/>
        </w:rPr>
        <w:t>13</w:t>
      </w:r>
      <w:r w:rsidRPr="00692B37">
        <w:rPr>
          <w:rFonts w:ascii="Times New Roman" w:hAnsi="Times New Roman"/>
        </w:rPr>
        <w:t xml:space="preserve"> </w:t>
      </w:r>
    </w:p>
    <w:p w:rsidR="00750F30" w:rsidRPr="00692B37" w:rsidRDefault="00750F30" w:rsidP="00750F30">
      <w:pPr>
        <w:pStyle w:val="ListParagraph"/>
        <w:numPr>
          <w:ilvl w:val="0"/>
          <w:numId w:val="1"/>
        </w:numPr>
        <w:rPr>
          <w:rFonts w:ascii="Times New Roman" w:hAnsi="Times New Roman"/>
        </w:rPr>
      </w:pPr>
      <w:r w:rsidRPr="00692B37">
        <w:rPr>
          <w:rFonts w:ascii="Times New Roman" w:hAnsi="Times New Roman"/>
        </w:rPr>
        <w:t>If owner/builders of low-density rural dwellings would prefer to apply their ingenuity to the goal of protecting themselves and their property from the adverse effects of fire,</w:t>
      </w:r>
      <w:r>
        <w:rPr>
          <w:rFonts w:ascii="Times New Roman" w:hAnsi="Times New Roman"/>
        </w:rPr>
        <w:t xml:space="preserve"> </w:t>
      </w:r>
      <w:r w:rsidRPr="00692B37">
        <w:rPr>
          <w:rFonts w:ascii="Times New Roman" w:hAnsi="Times New Roman"/>
        </w:rPr>
        <w:t>the Building Department should accept their proposals.</w:t>
      </w:r>
    </w:p>
    <w:p w:rsidR="00750F30" w:rsidRPr="00692B37" w:rsidRDefault="00750F30" w:rsidP="00750F30">
      <w:pPr>
        <w:pStyle w:val="ListParagraph"/>
        <w:numPr>
          <w:ilvl w:val="0"/>
          <w:numId w:val="1"/>
        </w:numPr>
        <w:rPr>
          <w:rFonts w:ascii="Times New Roman" w:hAnsi="Times New Roman"/>
        </w:rPr>
      </w:pPr>
      <w:r w:rsidRPr="00692B37">
        <w:rPr>
          <w:rFonts w:ascii="Times New Roman" w:hAnsi="Times New Roman"/>
        </w:rPr>
        <w:t>The State political tide favors housing advocacy.</w:t>
      </w:r>
      <w:r w:rsidRPr="00692B37">
        <w:rPr>
          <w:rFonts w:ascii="Times New Roman" w:hAnsi="Times New Roman"/>
          <w:vertAlign w:val="superscript"/>
        </w:rPr>
        <w:t>14</w:t>
      </w:r>
    </w:p>
    <w:p w:rsidR="00750F30" w:rsidRPr="00FC27C2" w:rsidRDefault="00750F30" w:rsidP="00750F30">
      <w:pPr>
        <w:rPr>
          <w:rFonts w:ascii="Times New Roman" w:hAnsi="Times New Roman"/>
          <w:sz w:val="16"/>
        </w:rPr>
      </w:pPr>
    </w:p>
    <w:p w:rsidR="00750F30" w:rsidRPr="00692B37" w:rsidRDefault="00750F30" w:rsidP="00750F30">
      <w:pPr>
        <w:rPr>
          <w:rFonts w:ascii="Times New Roman" w:hAnsi="Times New Roman"/>
          <w:i/>
        </w:rPr>
      </w:pPr>
      <w:r w:rsidRPr="00692B37">
        <w:rPr>
          <w:rFonts w:ascii="Times New Roman" w:hAnsi="Times New Roman"/>
          <w:i/>
        </w:rPr>
        <w:t>Three (3) inspections will be required to obtain a Class K permit.</w:t>
      </w:r>
    </w:p>
    <w:p w:rsidR="00750F30" w:rsidRPr="002D4920" w:rsidRDefault="00750F30" w:rsidP="00750F30">
      <w:pPr>
        <w:pStyle w:val="ListParagraph"/>
        <w:numPr>
          <w:ilvl w:val="0"/>
          <w:numId w:val="1"/>
        </w:numPr>
        <w:rPr>
          <w:rFonts w:ascii="Times New Roman" w:hAnsi="Times New Roman"/>
        </w:rPr>
      </w:pPr>
      <w:r>
        <w:rPr>
          <w:rFonts w:ascii="Times New Roman" w:hAnsi="Times New Roman"/>
        </w:rPr>
        <w:t>Title 25</w:t>
      </w:r>
      <w:r w:rsidRPr="00692B37">
        <w:rPr>
          <w:rFonts w:ascii="Times New Roman" w:hAnsi="Times New Roman"/>
        </w:rPr>
        <w:t xml:space="preserve"> (</w:t>
      </w:r>
      <w:r w:rsidRPr="00692B37">
        <w:rPr>
          <w:rFonts w:ascii="Times New Roman" w:hAnsi="Times New Roman"/>
          <w:color w:val="252525"/>
          <w:sz w:val="22"/>
        </w:rPr>
        <w:t>§ 108-112)</w:t>
      </w:r>
      <w:r>
        <w:rPr>
          <w:rFonts w:ascii="Times New Roman" w:hAnsi="Times New Roman"/>
          <w:color w:val="252525"/>
          <w:sz w:val="22"/>
        </w:rPr>
        <w:t xml:space="preserve"> </w:t>
      </w:r>
      <w:r w:rsidRPr="00692B37">
        <w:rPr>
          <w:rFonts w:ascii="Times New Roman" w:hAnsi="Times New Roman"/>
          <w:vertAlign w:val="superscript"/>
        </w:rPr>
        <w:t>15</w:t>
      </w:r>
      <w:r w:rsidRPr="00692B37">
        <w:rPr>
          <w:rFonts w:ascii="Times New Roman" w:hAnsi="Times New Roman"/>
          <w:color w:val="252525"/>
          <w:sz w:val="22"/>
        </w:rPr>
        <w:t xml:space="preserve"> </w:t>
      </w:r>
      <w:r w:rsidRPr="00692B37">
        <w:rPr>
          <w:rFonts w:ascii="Times New Roman" w:hAnsi="Times New Roman"/>
        </w:rPr>
        <w:t>and Class K (</w:t>
      </w:r>
      <w:r w:rsidRPr="00692B37">
        <w:rPr>
          <w:rFonts w:ascii="Times New Roman" w:hAnsi="Times New Roman"/>
          <w:color w:val="252525"/>
          <w:sz w:val="22"/>
        </w:rPr>
        <w:t>§</w:t>
      </w:r>
      <w:r w:rsidRPr="00692B37">
        <w:rPr>
          <w:rFonts w:ascii="Times New Roman" w:hAnsi="Times New Roman"/>
        </w:rPr>
        <w:t xml:space="preserve"> 18.23.170) </w:t>
      </w:r>
      <w:r w:rsidRPr="00692B37">
        <w:rPr>
          <w:rFonts w:ascii="Times New Roman" w:hAnsi="Times New Roman"/>
          <w:vertAlign w:val="superscript"/>
        </w:rPr>
        <w:t>16</w:t>
      </w:r>
      <w:r w:rsidRPr="00692B37">
        <w:rPr>
          <w:rFonts w:ascii="Times New Roman" w:hAnsi="Times New Roman"/>
        </w:rPr>
        <w:t xml:space="preserve"> already provide for at least one single inspection and any additional inspections that may be needed. </w:t>
      </w:r>
    </w:p>
    <w:p w:rsidR="00750F30" w:rsidRPr="00FC27C2" w:rsidRDefault="00750F30" w:rsidP="00750F30">
      <w:pPr>
        <w:pStyle w:val="ListParagraph"/>
        <w:rPr>
          <w:rFonts w:ascii="Times New Roman" w:hAnsi="Times New Roman"/>
          <w:sz w:val="16"/>
        </w:rPr>
      </w:pPr>
    </w:p>
    <w:p w:rsidR="00750F30" w:rsidRPr="00692B37" w:rsidRDefault="00750F30" w:rsidP="00750F30">
      <w:pPr>
        <w:rPr>
          <w:rFonts w:ascii="Times New Roman" w:hAnsi="Times New Roman"/>
          <w:i/>
        </w:rPr>
      </w:pPr>
      <w:r w:rsidRPr="00692B37">
        <w:rPr>
          <w:rFonts w:ascii="Times New Roman" w:hAnsi="Times New Roman"/>
          <w:i/>
        </w:rPr>
        <w:t>Class K Ordinance shall state that the most recently adopted version of the Uniform Building Code (UBC) would be the operative code. This would avoid the necessity of having to re-adopt Class K revisions.</w:t>
      </w:r>
    </w:p>
    <w:p w:rsidR="00750F30" w:rsidRPr="00692B37" w:rsidRDefault="00750F30" w:rsidP="00750F30">
      <w:pPr>
        <w:pStyle w:val="ListParagraph"/>
        <w:numPr>
          <w:ilvl w:val="0"/>
          <w:numId w:val="1"/>
        </w:numPr>
        <w:rPr>
          <w:rFonts w:ascii="Times New Roman" w:hAnsi="Times New Roman"/>
        </w:rPr>
      </w:pPr>
      <w:r w:rsidRPr="00692B37">
        <w:rPr>
          <w:rFonts w:ascii="Times New Roman" w:hAnsi="Times New Roman"/>
        </w:rPr>
        <w:t>This is an alarming proposition. Any changes to Class K Ordinance require amending the General Plan, and for good reason. Class K Ordinance is currently part of the Mendocino Housing Element of the General Plan.</w:t>
      </w:r>
      <w:r w:rsidRPr="00692B37">
        <w:rPr>
          <w:rFonts w:ascii="Times New Roman" w:hAnsi="Times New Roman"/>
          <w:vertAlign w:val="superscript"/>
        </w:rPr>
        <w:t>18</w:t>
      </w:r>
      <w:r w:rsidRPr="00692B37">
        <w:rPr>
          <w:rFonts w:ascii="Times New Roman" w:hAnsi="Times New Roman"/>
        </w:rPr>
        <w:t xml:space="preserve"> </w:t>
      </w:r>
    </w:p>
    <w:p w:rsidR="00750F30" w:rsidRPr="00692B37" w:rsidRDefault="00750F30" w:rsidP="00750F30">
      <w:pPr>
        <w:pStyle w:val="ListParagraph"/>
        <w:numPr>
          <w:ilvl w:val="0"/>
          <w:numId w:val="1"/>
        </w:numPr>
        <w:rPr>
          <w:rFonts w:ascii="Times New Roman" w:hAnsi="Times New Roman"/>
        </w:rPr>
      </w:pPr>
      <w:r w:rsidRPr="00692B37">
        <w:rPr>
          <w:rFonts w:ascii="Times New Roman" w:hAnsi="Times New Roman"/>
        </w:rPr>
        <w:t xml:space="preserve">General Plan protocol encourages public input and maintains transparency of purpose. </w:t>
      </w:r>
    </w:p>
    <w:p w:rsidR="00750F30" w:rsidRPr="008A2AB1" w:rsidRDefault="00750F30" w:rsidP="00750F30">
      <w:pPr>
        <w:pStyle w:val="ListParagraph"/>
        <w:numPr>
          <w:ilvl w:val="0"/>
          <w:numId w:val="1"/>
        </w:numPr>
        <w:rPr>
          <w:rFonts w:ascii="Times New Roman" w:hAnsi="Times New Roman"/>
        </w:rPr>
      </w:pPr>
      <w:r w:rsidRPr="00692B37">
        <w:rPr>
          <w:rFonts w:ascii="Times New Roman" w:hAnsi="Times New Roman"/>
        </w:rPr>
        <w:t xml:space="preserve">Let’s not curtail democratic principles for convenience sake or to avoid public input. </w:t>
      </w:r>
    </w:p>
    <w:p w:rsidR="002D4920" w:rsidRDefault="002D4920" w:rsidP="00750F30">
      <w:pPr>
        <w:jc w:val="center"/>
        <w:rPr>
          <w:rFonts w:ascii="Times New Roman" w:hAnsi="Times New Roman"/>
          <w:sz w:val="20"/>
        </w:rPr>
      </w:pPr>
    </w:p>
    <w:p w:rsidR="00750F30" w:rsidRPr="008A2AB1" w:rsidRDefault="00750F30" w:rsidP="00750F30">
      <w:pPr>
        <w:jc w:val="center"/>
        <w:rPr>
          <w:rFonts w:ascii="Times New Roman" w:hAnsi="Times New Roman"/>
          <w:sz w:val="20"/>
        </w:rPr>
      </w:pPr>
    </w:p>
    <w:p w:rsidR="00750F30" w:rsidRPr="00692B37" w:rsidRDefault="00750F30" w:rsidP="00750F30">
      <w:pPr>
        <w:jc w:val="center"/>
        <w:rPr>
          <w:rFonts w:ascii="Times New Roman" w:hAnsi="Times New Roman"/>
        </w:rPr>
      </w:pPr>
      <w:r w:rsidRPr="00692B37">
        <w:rPr>
          <w:rFonts w:ascii="Times New Roman" w:hAnsi="Times New Roman"/>
        </w:rPr>
        <w:t>***</w:t>
      </w:r>
    </w:p>
    <w:p w:rsidR="002D4920" w:rsidRDefault="002D4920" w:rsidP="00750F30">
      <w:pPr>
        <w:rPr>
          <w:rFonts w:ascii="Times New Roman" w:hAnsi="Times New Roman"/>
          <w:b/>
          <w:sz w:val="28"/>
        </w:rPr>
      </w:pPr>
    </w:p>
    <w:p w:rsidR="002D4920" w:rsidRDefault="002D4920" w:rsidP="00750F30">
      <w:pPr>
        <w:rPr>
          <w:rFonts w:ascii="Times New Roman" w:hAnsi="Times New Roman"/>
          <w:b/>
          <w:sz w:val="28"/>
        </w:rPr>
      </w:pPr>
    </w:p>
    <w:p w:rsidR="00750F30" w:rsidRPr="00692B37" w:rsidRDefault="00750F30" w:rsidP="00750F30">
      <w:pPr>
        <w:rPr>
          <w:rFonts w:ascii="Times New Roman" w:hAnsi="Times New Roman"/>
          <w:b/>
          <w:sz w:val="28"/>
        </w:rPr>
      </w:pPr>
      <w:r w:rsidRPr="00692B37">
        <w:rPr>
          <w:rFonts w:ascii="Times New Roman" w:hAnsi="Times New Roman"/>
          <w:b/>
          <w:sz w:val="28"/>
        </w:rPr>
        <w:t>Endnotes</w:t>
      </w:r>
    </w:p>
    <w:p w:rsidR="00750F30" w:rsidRPr="008A2AB1" w:rsidRDefault="00750F30" w:rsidP="00750F30">
      <w:pPr>
        <w:rPr>
          <w:rFonts w:ascii="Times New Roman" w:hAnsi="Times New Roman"/>
        </w:rPr>
      </w:pPr>
      <w:r w:rsidRPr="008A2AB1">
        <w:rPr>
          <w:rFonts w:ascii="Times New Roman" w:hAnsi="Times New Roman"/>
          <w:vertAlign w:val="superscript"/>
        </w:rPr>
        <w:t xml:space="preserve">1 </w:t>
      </w:r>
      <w:r w:rsidRPr="008A2AB1">
        <w:rPr>
          <w:rFonts w:ascii="Times New Roman" w:hAnsi="Times New Roman"/>
        </w:rPr>
        <w:t>Class K Ordinance, Mendocino County Planning and Building Services, Chapter 18.23, sec. 18.23.020</w:t>
      </w:r>
    </w:p>
    <w:p w:rsidR="00750F30" w:rsidRPr="008A2AB1" w:rsidRDefault="00750F30" w:rsidP="00750F30">
      <w:pPr>
        <w:rPr>
          <w:rFonts w:ascii="Times New Roman" w:hAnsi="Times New Roman"/>
          <w:vertAlign w:val="superscript"/>
        </w:rPr>
      </w:pPr>
      <w:r w:rsidRPr="008A2AB1">
        <w:rPr>
          <w:rFonts w:ascii="Times New Roman" w:hAnsi="Times New Roman"/>
          <w:vertAlign w:val="superscript"/>
        </w:rPr>
        <w:t xml:space="preserve">2 </w:t>
      </w:r>
      <w:r w:rsidRPr="008A2AB1">
        <w:rPr>
          <w:rFonts w:ascii="Times New Roman" w:hAnsi="Times New Roman"/>
        </w:rPr>
        <w:t>Class K Ordinance, Mendocino County Planning and Building Services, Chapter 18.23, sec. 18.23.300</w:t>
      </w:r>
    </w:p>
    <w:p w:rsidR="00750F30" w:rsidRPr="008A2AB1" w:rsidRDefault="00750F30" w:rsidP="00750F30">
      <w:pPr>
        <w:rPr>
          <w:rFonts w:ascii="Times New Roman" w:hAnsi="Times New Roman"/>
        </w:rPr>
      </w:pPr>
      <w:r w:rsidRPr="008A2AB1">
        <w:rPr>
          <w:rFonts w:ascii="Times New Roman" w:hAnsi="Times New Roman"/>
          <w:vertAlign w:val="superscript"/>
        </w:rPr>
        <w:t xml:space="preserve">3 </w:t>
      </w:r>
      <w:r w:rsidRPr="008A2AB1">
        <w:rPr>
          <w:rFonts w:ascii="Times New Roman" w:hAnsi="Times New Roman"/>
        </w:rPr>
        <w:t>Class K Ordinance, Mendocino County Planning and Building Services, Chapter 18.23, sec. 18.23.440</w:t>
      </w:r>
    </w:p>
    <w:p w:rsidR="00750F30" w:rsidRPr="008A2AB1" w:rsidRDefault="00750F30" w:rsidP="00750F30">
      <w:pPr>
        <w:rPr>
          <w:rFonts w:ascii="Times New Roman" w:hAnsi="Times New Roman"/>
        </w:rPr>
      </w:pPr>
      <w:r w:rsidRPr="008A2AB1">
        <w:rPr>
          <w:rFonts w:ascii="Times New Roman" w:hAnsi="Times New Roman"/>
          <w:vertAlign w:val="superscript"/>
        </w:rPr>
        <w:t xml:space="preserve">4 </w:t>
      </w:r>
      <w:r w:rsidRPr="008A2AB1">
        <w:rPr>
          <w:rFonts w:ascii="Times New Roman" w:hAnsi="Times New Roman"/>
        </w:rPr>
        <w:t>Ibid</w:t>
      </w:r>
    </w:p>
    <w:p w:rsidR="00750F30" w:rsidRPr="008A2AB1" w:rsidRDefault="00750F30" w:rsidP="00750F30">
      <w:pPr>
        <w:rPr>
          <w:rFonts w:ascii="Times New Roman" w:hAnsi="Times New Roman"/>
          <w:szCs w:val="20"/>
        </w:rPr>
      </w:pPr>
      <w:r w:rsidRPr="008A2AB1">
        <w:rPr>
          <w:rFonts w:ascii="Times New Roman" w:hAnsi="Times New Roman"/>
          <w:vertAlign w:val="superscript"/>
        </w:rPr>
        <w:t xml:space="preserve">5 </w:t>
      </w:r>
      <w:r w:rsidRPr="008A2AB1">
        <w:rPr>
          <w:rFonts w:ascii="Times New Roman" w:hAnsi="Times New Roman"/>
        </w:rPr>
        <w:t>California AB 1515, Section 1, section 65589.5(a): “</w:t>
      </w:r>
      <w:r w:rsidRPr="008A2AB1">
        <w:rPr>
          <w:rFonts w:ascii="Times New Roman" w:hAnsi="Times New Roman"/>
          <w:color w:val="333333"/>
          <w:szCs w:val="20"/>
          <w:shd w:val="clear" w:color="auto" w:fill="FFFFFF"/>
        </w:rPr>
        <w:t>The lack of housing … is a critical problem that threatens the economic, environmental, and social quality of life in California.”</w:t>
      </w:r>
    </w:p>
    <w:p w:rsidR="00750F30" w:rsidRPr="008A2AB1" w:rsidRDefault="00750F30" w:rsidP="00750F30">
      <w:pPr>
        <w:rPr>
          <w:rFonts w:ascii="Times New Roman" w:hAnsi="Times New Roman"/>
        </w:rPr>
      </w:pPr>
      <w:r w:rsidRPr="008A2AB1">
        <w:rPr>
          <w:rFonts w:ascii="Times New Roman" w:hAnsi="Times New Roman"/>
          <w:vertAlign w:val="superscript"/>
        </w:rPr>
        <w:t xml:space="preserve">6 </w:t>
      </w:r>
      <w:r w:rsidRPr="008A2AB1">
        <w:rPr>
          <w:rFonts w:ascii="Times New Roman" w:hAnsi="Times New Roman"/>
        </w:rPr>
        <w:t>“Analysis of Changing Residential Fire Dynamics and its Implications on Firefighter Timeframes”; Stephen Kerber; 2014; p. 3</w:t>
      </w:r>
    </w:p>
    <w:p w:rsidR="00750F30" w:rsidRPr="008A2AB1" w:rsidRDefault="00750F30" w:rsidP="00750F30">
      <w:pPr>
        <w:pStyle w:val="NormalWeb"/>
        <w:spacing w:before="2" w:after="2"/>
        <w:rPr>
          <w:rFonts w:ascii="Times New Roman" w:hAnsi="Times New Roman"/>
          <w:sz w:val="24"/>
        </w:rPr>
      </w:pPr>
      <w:r w:rsidRPr="008A2AB1">
        <w:rPr>
          <w:rFonts w:ascii="Times New Roman" w:hAnsi="Times New Roman"/>
          <w:sz w:val="24"/>
          <w:vertAlign w:val="superscript"/>
        </w:rPr>
        <w:t xml:space="preserve">7  </w:t>
      </w:r>
      <w:r w:rsidRPr="008A2AB1">
        <w:rPr>
          <w:rFonts w:ascii="Times New Roman" w:hAnsi="Times New Roman"/>
          <w:iCs/>
          <w:sz w:val="24"/>
        </w:rPr>
        <w:t>Title 24, Part 2.5, Chapter 9 (2016 California Residential Code); R301. 1.1.1; Item 5.</w:t>
      </w:r>
    </w:p>
    <w:p w:rsidR="00750F30" w:rsidRPr="008A2AB1" w:rsidRDefault="00750F30" w:rsidP="00750F30">
      <w:pPr>
        <w:pStyle w:val="NormalWeb"/>
        <w:spacing w:before="2" w:after="2"/>
        <w:rPr>
          <w:rFonts w:ascii="Times New Roman" w:hAnsi="Times New Roman"/>
          <w:sz w:val="24"/>
        </w:rPr>
      </w:pPr>
      <w:r w:rsidRPr="008A2AB1">
        <w:rPr>
          <w:rFonts w:ascii="Times New Roman" w:hAnsi="Times New Roman"/>
          <w:sz w:val="24"/>
          <w:vertAlign w:val="superscript"/>
        </w:rPr>
        <w:t xml:space="preserve">8  </w:t>
      </w:r>
      <w:r w:rsidRPr="008A2AB1">
        <w:rPr>
          <w:rFonts w:ascii="Times New Roman" w:hAnsi="Times New Roman"/>
          <w:sz w:val="24"/>
        </w:rPr>
        <w:t xml:space="preserve">Title 24, Chapter 7A, 703A.6  </w:t>
      </w:r>
    </w:p>
    <w:p w:rsidR="00750F30" w:rsidRPr="008A2AB1" w:rsidRDefault="00750F30" w:rsidP="00750F30">
      <w:pPr>
        <w:rPr>
          <w:rFonts w:ascii="Times New Roman" w:hAnsi="Times New Roman"/>
        </w:rPr>
      </w:pPr>
      <w:hyperlink r:id="rId5" w:history="1">
        <w:r w:rsidRPr="008A2AB1">
          <w:rPr>
            <w:rStyle w:val="Hyperlink"/>
            <w:rFonts w:ascii="Times New Roman" w:hAnsi="Times New Roman"/>
            <w:bCs/>
            <w:iCs/>
          </w:rPr>
          <w:t>https://codes.iccsafe.org/public/public/chapter/content/9997/</w:t>
        </w:r>
      </w:hyperlink>
      <w:r w:rsidRPr="008A2AB1">
        <w:rPr>
          <w:rFonts w:ascii="Times New Roman" w:hAnsi="Times New Roman"/>
          <w:bCs/>
          <w:iCs/>
        </w:rPr>
        <w:t xml:space="preserve"> </w:t>
      </w:r>
    </w:p>
    <w:p w:rsidR="00750F30" w:rsidRPr="008A2AB1" w:rsidRDefault="00750F30" w:rsidP="00750F30">
      <w:pPr>
        <w:pStyle w:val="NormalWeb"/>
        <w:spacing w:before="2" w:after="2"/>
        <w:rPr>
          <w:rFonts w:ascii="Times New Roman" w:hAnsi="Times New Roman"/>
          <w:bCs/>
          <w:sz w:val="24"/>
          <w:shd w:val="clear" w:color="auto" w:fill="FFFFFF"/>
        </w:rPr>
      </w:pPr>
      <w:r w:rsidRPr="008A2AB1">
        <w:rPr>
          <w:rFonts w:ascii="Times New Roman" w:hAnsi="Times New Roman"/>
          <w:sz w:val="24"/>
          <w:vertAlign w:val="superscript"/>
        </w:rPr>
        <w:t xml:space="preserve">9 </w:t>
      </w:r>
      <w:r w:rsidRPr="008A2AB1">
        <w:rPr>
          <w:rFonts w:ascii="Times New Roman" w:hAnsi="Times New Roman"/>
          <w:sz w:val="24"/>
        </w:rPr>
        <w:t xml:space="preserve">Title 25; Division 1; Chapter 1; Subchapter 1; Article 8; </w:t>
      </w:r>
      <w:r w:rsidRPr="008A2AB1">
        <w:rPr>
          <w:rFonts w:ascii="Times New Roman" w:hAnsi="Times New Roman"/>
          <w:color w:val="252525"/>
          <w:sz w:val="24"/>
        </w:rPr>
        <w:t>§ 124. Intent of General Requirements</w:t>
      </w:r>
    </w:p>
    <w:p w:rsidR="00750F30" w:rsidRPr="008A2AB1" w:rsidRDefault="00750F30" w:rsidP="00750F30">
      <w:pPr>
        <w:rPr>
          <w:rFonts w:ascii="Times New Roman" w:hAnsi="Times New Roman"/>
        </w:rPr>
      </w:pPr>
      <w:r w:rsidRPr="008A2AB1">
        <w:rPr>
          <w:rFonts w:ascii="Times New Roman" w:hAnsi="Times New Roman"/>
          <w:vertAlign w:val="superscript"/>
        </w:rPr>
        <w:t xml:space="preserve">10 </w:t>
      </w:r>
      <w:r w:rsidRPr="008A2AB1">
        <w:rPr>
          <w:rFonts w:ascii="Times New Roman" w:hAnsi="Times New Roman"/>
        </w:rPr>
        <w:t xml:space="preserve">History of NFPA; </w:t>
      </w:r>
      <w:hyperlink r:id="rId6" w:history="1">
        <w:r w:rsidRPr="008A2AB1">
          <w:rPr>
            <w:rStyle w:val="Hyperlink"/>
            <w:rFonts w:ascii="Times New Roman" w:hAnsi="Times New Roman"/>
          </w:rPr>
          <w:t>www.nfpa.org/About-NFPA/NFPA-overview/History-of-NFPA</w:t>
        </w:r>
      </w:hyperlink>
    </w:p>
    <w:p w:rsidR="00750F30" w:rsidRPr="008A2AB1" w:rsidRDefault="00750F30" w:rsidP="00750F30">
      <w:pPr>
        <w:rPr>
          <w:rFonts w:ascii="Times New Roman" w:hAnsi="Times New Roman"/>
        </w:rPr>
      </w:pPr>
      <w:r w:rsidRPr="008A2AB1">
        <w:rPr>
          <w:rFonts w:ascii="Times New Roman" w:hAnsi="Times New Roman"/>
          <w:vertAlign w:val="superscript"/>
        </w:rPr>
        <w:t xml:space="preserve">11 </w:t>
      </w:r>
      <w:r w:rsidRPr="008A2AB1">
        <w:rPr>
          <w:rFonts w:ascii="Times New Roman" w:hAnsi="Times New Roman"/>
        </w:rPr>
        <w:t xml:space="preserve">Sprinklers: Interpreting the Statistics; Richard Licht, 1/1/2007; </w:t>
      </w:r>
      <w:hyperlink r:id="rId7" w:history="1">
        <w:r w:rsidRPr="008A2AB1">
          <w:rPr>
            <w:rStyle w:val="Hyperlink"/>
            <w:rFonts w:ascii="Times New Roman" w:hAnsi="Times New Roman"/>
          </w:rPr>
          <w:t>www.fireengineering.com/articles/print/volume-160/issue-1/departments/fire-commentary/sprinklers-interpreting-the-statistics.html</w:t>
        </w:r>
      </w:hyperlink>
    </w:p>
    <w:p w:rsidR="00750F30" w:rsidRPr="008A2AB1" w:rsidRDefault="00750F30" w:rsidP="00750F30">
      <w:pPr>
        <w:rPr>
          <w:rFonts w:ascii="Times New Roman" w:hAnsi="Times New Roman"/>
        </w:rPr>
      </w:pPr>
      <w:r w:rsidRPr="008A2AB1">
        <w:rPr>
          <w:rFonts w:ascii="Times New Roman" w:hAnsi="Times New Roman"/>
          <w:vertAlign w:val="superscript"/>
        </w:rPr>
        <w:t>12</w:t>
      </w:r>
      <w:r w:rsidRPr="008A2AB1">
        <w:rPr>
          <w:rFonts w:ascii="Times New Roman" w:hAnsi="Times New Roman"/>
        </w:rPr>
        <w:t xml:space="preserve">Fire Sprinkler Initiative </w:t>
      </w:r>
      <w:r w:rsidRPr="008A2AB1">
        <w:rPr>
          <w:rFonts w:ascii="Times New Roman" w:hAnsi="Times New Roman"/>
          <w:vertAlign w:val="superscript"/>
        </w:rPr>
        <w:t xml:space="preserve"> </w:t>
      </w:r>
      <w:hyperlink r:id="rId8" w:history="1">
        <w:r w:rsidRPr="008A2AB1">
          <w:rPr>
            <w:rStyle w:val="Hyperlink"/>
            <w:rFonts w:ascii="Times New Roman" w:hAnsi="Times New Roman"/>
          </w:rPr>
          <w:t>www.nfpa.org/Public-Education/Campaigns/Fire-Sprinkler-Initiative/Legislation-and-adoptions/Sprinkler-requirements</w:t>
        </w:r>
      </w:hyperlink>
      <w:r w:rsidRPr="008A2AB1">
        <w:rPr>
          <w:rFonts w:ascii="Times New Roman" w:hAnsi="Times New Roman"/>
        </w:rPr>
        <w:t xml:space="preserve"> </w:t>
      </w:r>
    </w:p>
    <w:p w:rsidR="00750F30" w:rsidRPr="008A2AB1" w:rsidRDefault="00750F30" w:rsidP="00750F30">
      <w:pPr>
        <w:rPr>
          <w:rFonts w:ascii="Times New Roman" w:hAnsi="Times New Roman"/>
        </w:rPr>
      </w:pPr>
      <w:r w:rsidRPr="008A2AB1">
        <w:rPr>
          <w:rFonts w:ascii="Times New Roman" w:hAnsi="Times New Roman"/>
          <w:vertAlign w:val="superscript"/>
        </w:rPr>
        <w:t xml:space="preserve">13 </w:t>
      </w:r>
      <w:r w:rsidRPr="008A2AB1">
        <w:rPr>
          <w:rFonts w:ascii="Times New Roman" w:hAnsi="Times New Roman"/>
        </w:rPr>
        <w:t>”Analysis of Changing Residential Fire Dynamics and its Implications on Firefighter Timeframes”; Stephen Kerber; 2014; p. 3</w:t>
      </w:r>
    </w:p>
    <w:p w:rsidR="00750F30" w:rsidRPr="008A2AB1" w:rsidRDefault="00750F30" w:rsidP="00750F30">
      <w:pPr>
        <w:rPr>
          <w:rFonts w:ascii="Times New Roman" w:hAnsi="Times New Roman"/>
        </w:rPr>
      </w:pPr>
      <w:r w:rsidRPr="008A2AB1">
        <w:rPr>
          <w:rFonts w:ascii="Times New Roman" w:hAnsi="Times New Roman"/>
          <w:vertAlign w:val="superscript"/>
        </w:rPr>
        <w:t xml:space="preserve">14 </w:t>
      </w:r>
      <w:r w:rsidRPr="008A2AB1">
        <w:rPr>
          <w:rFonts w:ascii="Times New Roman" w:hAnsi="Times New Roman"/>
        </w:rPr>
        <w:t xml:space="preserve">California AB 1515, Section 1, section 65589.5(a): </w:t>
      </w:r>
    </w:p>
    <w:p w:rsidR="00750F30" w:rsidRPr="008A2AB1" w:rsidRDefault="00750F30" w:rsidP="00750F30">
      <w:pPr>
        <w:pStyle w:val="NormalWeb"/>
        <w:spacing w:before="2" w:after="2"/>
        <w:rPr>
          <w:rFonts w:ascii="Times New Roman" w:hAnsi="Times New Roman"/>
          <w:bCs/>
          <w:sz w:val="24"/>
          <w:shd w:val="clear" w:color="auto" w:fill="FFFFFF"/>
        </w:rPr>
      </w:pPr>
      <w:r w:rsidRPr="008A2AB1">
        <w:rPr>
          <w:rFonts w:ascii="Times New Roman" w:hAnsi="Times New Roman"/>
          <w:sz w:val="24"/>
          <w:vertAlign w:val="superscript"/>
        </w:rPr>
        <w:t xml:space="preserve">15 </w:t>
      </w:r>
      <w:r w:rsidRPr="008A2AB1">
        <w:rPr>
          <w:rFonts w:ascii="Times New Roman" w:hAnsi="Times New Roman"/>
          <w:sz w:val="24"/>
        </w:rPr>
        <w:t xml:space="preserve">Title 25; Division 1; Chapter 1; Subchapter 1; Article 8; </w:t>
      </w:r>
      <w:r w:rsidRPr="008A2AB1">
        <w:rPr>
          <w:rFonts w:ascii="Times New Roman" w:hAnsi="Times New Roman"/>
          <w:color w:val="252525"/>
          <w:sz w:val="24"/>
        </w:rPr>
        <w:t>§ 108-112  Inspections, Special Inspections, and Inspection Waivers</w:t>
      </w:r>
    </w:p>
    <w:p w:rsidR="00750F30" w:rsidRPr="008A2AB1" w:rsidRDefault="00750F30" w:rsidP="00750F30">
      <w:pPr>
        <w:pStyle w:val="NormalWeb"/>
        <w:spacing w:before="2" w:after="2"/>
        <w:rPr>
          <w:rFonts w:ascii="Times New Roman" w:hAnsi="Times New Roman"/>
          <w:bCs/>
          <w:sz w:val="24"/>
          <w:shd w:val="clear" w:color="auto" w:fill="FFFFFF"/>
        </w:rPr>
      </w:pPr>
      <w:r w:rsidRPr="008A2AB1">
        <w:rPr>
          <w:rFonts w:ascii="Times New Roman" w:hAnsi="Times New Roman"/>
          <w:sz w:val="24"/>
          <w:vertAlign w:val="superscript"/>
        </w:rPr>
        <w:t xml:space="preserve">16 </w:t>
      </w:r>
      <w:r w:rsidRPr="008A2AB1">
        <w:rPr>
          <w:rFonts w:ascii="Times New Roman" w:hAnsi="Times New Roman"/>
          <w:sz w:val="24"/>
        </w:rPr>
        <w:t>Class K</w:t>
      </w:r>
      <w:r w:rsidRPr="008A2AB1">
        <w:rPr>
          <w:rFonts w:ascii="Times New Roman" w:hAnsi="Times New Roman"/>
          <w:bCs/>
          <w:iCs/>
          <w:sz w:val="24"/>
        </w:rPr>
        <w:t xml:space="preserve">; </w:t>
      </w:r>
      <w:r w:rsidRPr="008A2AB1">
        <w:rPr>
          <w:rFonts w:ascii="Times New Roman" w:hAnsi="Times New Roman"/>
          <w:color w:val="252525"/>
          <w:sz w:val="24"/>
        </w:rPr>
        <w:t>§</w:t>
      </w:r>
      <w:r w:rsidRPr="008A2AB1">
        <w:rPr>
          <w:rFonts w:ascii="Times New Roman" w:hAnsi="Times New Roman"/>
          <w:bCs/>
          <w:sz w:val="24"/>
          <w:shd w:val="clear" w:color="auto" w:fill="FFFFFF"/>
        </w:rPr>
        <w:t xml:space="preserve">18.23.170 Special Inspections. </w:t>
      </w:r>
    </w:p>
    <w:p w:rsidR="00750F30" w:rsidRPr="008A2AB1" w:rsidRDefault="00750F30" w:rsidP="00750F30">
      <w:pPr>
        <w:pStyle w:val="NormalWeb"/>
        <w:spacing w:before="2" w:after="2"/>
        <w:rPr>
          <w:rFonts w:ascii="Times New Roman" w:hAnsi="Times New Roman"/>
          <w:iCs/>
          <w:sz w:val="24"/>
        </w:rPr>
      </w:pPr>
      <w:r w:rsidRPr="008A2AB1">
        <w:rPr>
          <w:rFonts w:ascii="Times New Roman" w:hAnsi="Times New Roman"/>
          <w:sz w:val="24"/>
          <w:vertAlign w:val="superscript"/>
        </w:rPr>
        <w:t xml:space="preserve">17 </w:t>
      </w:r>
      <w:r w:rsidRPr="008A2AB1">
        <w:rPr>
          <w:rFonts w:ascii="Times New Roman" w:hAnsi="Times New Roman"/>
          <w:iCs/>
          <w:sz w:val="24"/>
        </w:rPr>
        <w:t>Title 24, Part 2.5, Chapter 9 (2016 California Residential Code); R301. 1.1.1; Item 4.</w:t>
      </w:r>
    </w:p>
    <w:p w:rsidR="00750F30" w:rsidRPr="008A2AB1" w:rsidRDefault="00750F30" w:rsidP="00750F30">
      <w:pPr>
        <w:pStyle w:val="NormalWeb"/>
        <w:spacing w:before="2" w:after="2"/>
        <w:rPr>
          <w:rFonts w:ascii="Times New Roman" w:hAnsi="Times New Roman"/>
          <w:bCs/>
          <w:sz w:val="24"/>
          <w:shd w:val="clear" w:color="auto" w:fill="FFFFFF"/>
        </w:rPr>
      </w:pPr>
      <w:r w:rsidRPr="008A2AB1">
        <w:rPr>
          <w:rFonts w:ascii="Times New Roman" w:hAnsi="Times New Roman"/>
          <w:sz w:val="24"/>
          <w:vertAlign w:val="superscript"/>
        </w:rPr>
        <w:t xml:space="preserve">18 </w:t>
      </w:r>
      <w:r w:rsidRPr="008A2AB1">
        <w:rPr>
          <w:rFonts w:ascii="Times New Roman" w:hAnsi="Times New Roman"/>
          <w:sz w:val="24"/>
        </w:rPr>
        <w:t>Mendocino County Hous</w:t>
      </w:r>
      <w:r w:rsidRPr="008A2AB1">
        <w:rPr>
          <w:rFonts w:ascii="Times New Roman" w:hAnsi="Times New Roman"/>
          <w:bCs/>
          <w:sz w:val="24"/>
          <w:shd w:val="clear" w:color="auto" w:fill="FFFFFF"/>
        </w:rPr>
        <w:t xml:space="preserve">ing Element; August 4, 2015; 5-235. </w:t>
      </w:r>
    </w:p>
    <w:p w:rsidR="00750F30" w:rsidRPr="00692B37" w:rsidRDefault="00750F30" w:rsidP="00750F30">
      <w:pPr>
        <w:rPr>
          <w:rFonts w:ascii="Times New Roman" w:hAnsi="Times New Roman"/>
        </w:rPr>
      </w:pPr>
    </w:p>
    <w:p w:rsidR="00750F30" w:rsidRPr="00692B37" w:rsidRDefault="00750F30" w:rsidP="00750F30">
      <w:pPr>
        <w:rPr>
          <w:rFonts w:ascii="Times New Roman" w:hAnsi="Times New Roman"/>
          <w:vertAlign w:val="superscript"/>
        </w:rPr>
      </w:pPr>
    </w:p>
    <w:p w:rsidR="00750F30" w:rsidRPr="00692B37" w:rsidRDefault="00750F30" w:rsidP="00750F30">
      <w:pPr>
        <w:rPr>
          <w:rFonts w:ascii="Times New Roman" w:hAnsi="Times New Roman"/>
        </w:rPr>
      </w:pPr>
    </w:p>
    <w:p w:rsidR="00DE6647" w:rsidRPr="00750F30" w:rsidRDefault="00DE6647" w:rsidP="00750F30"/>
    <w:sectPr w:rsidR="00DE6647" w:rsidRPr="00750F30" w:rsidSect="00FC27C2">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1"/>
    <w:multiLevelType w:val="hybridMultilevel"/>
    <w:tmpl w:val="5F46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127B3"/>
    <w:multiLevelType w:val="hybridMultilevel"/>
    <w:tmpl w:val="4FAE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12832"/>
    <w:multiLevelType w:val="hybridMultilevel"/>
    <w:tmpl w:val="5CCA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EC386F"/>
    <w:multiLevelType w:val="multilevel"/>
    <w:tmpl w:val="74C6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E41B64"/>
    <w:multiLevelType w:val="multilevel"/>
    <w:tmpl w:val="E9B4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D8766B"/>
    <w:multiLevelType w:val="multilevel"/>
    <w:tmpl w:val="2B5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75B9"/>
    <w:rsid w:val="002D4920"/>
    <w:rsid w:val="004067CB"/>
    <w:rsid w:val="006A71A6"/>
    <w:rsid w:val="00750F30"/>
    <w:rsid w:val="007A75B9"/>
    <w:rsid w:val="00A70932"/>
    <w:rsid w:val="00B16EAF"/>
    <w:rsid w:val="00DE6647"/>
    <w:rsid w:val="00FC27C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30"/>
  </w:style>
  <w:style w:type="paragraph" w:styleId="Heading1">
    <w:name w:val="heading 1"/>
    <w:basedOn w:val="Normal"/>
    <w:next w:val="Normal"/>
    <w:link w:val="Heading1Char"/>
    <w:uiPriority w:val="9"/>
    <w:qFormat/>
    <w:rsid w:val="007A75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7A75B9"/>
    <w:pPr>
      <w:spacing w:beforeLines="1" w:afterLines="1"/>
      <w:outlineLvl w:val="1"/>
    </w:pPr>
    <w:rPr>
      <w:rFonts w:ascii="Times" w:hAnsi="Times"/>
      <w:b/>
      <w:sz w:val="36"/>
      <w:szCs w:val="20"/>
    </w:rPr>
  </w:style>
  <w:style w:type="paragraph" w:styleId="Heading3">
    <w:name w:val="heading 3"/>
    <w:basedOn w:val="Normal"/>
    <w:link w:val="Heading3Char"/>
    <w:uiPriority w:val="9"/>
    <w:rsid w:val="007A75B9"/>
    <w:pPr>
      <w:spacing w:beforeLines="1" w:afterLines="1"/>
      <w:outlineLvl w:val="2"/>
    </w:pPr>
    <w:rPr>
      <w:rFonts w:ascii="Times" w:hAnsi="Times"/>
      <w:b/>
      <w:sz w:val="27"/>
      <w:szCs w:val="20"/>
    </w:rPr>
  </w:style>
  <w:style w:type="paragraph" w:styleId="Heading6">
    <w:name w:val="heading 6"/>
    <w:basedOn w:val="Normal"/>
    <w:link w:val="Heading6Char"/>
    <w:uiPriority w:val="9"/>
    <w:rsid w:val="007A75B9"/>
    <w:pPr>
      <w:spacing w:beforeLines="1" w:afterLines="1"/>
      <w:outlineLvl w:val="5"/>
    </w:pPr>
    <w:rPr>
      <w:rFonts w:ascii="Times" w:hAnsi="Times"/>
      <w:b/>
      <w:sz w:val="15"/>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A75B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A75B9"/>
    <w:rPr>
      <w:rFonts w:ascii="Times" w:hAnsi="Times"/>
      <w:b/>
      <w:sz w:val="36"/>
      <w:szCs w:val="20"/>
    </w:rPr>
  </w:style>
  <w:style w:type="character" w:customStyle="1" w:styleId="Heading3Char">
    <w:name w:val="Heading 3 Char"/>
    <w:basedOn w:val="DefaultParagraphFont"/>
    <w:link w:val="Heading3"/>
    <w:uiPriority w:val="9"/>
    <w:rsid w:val="007A75B9"/>
    <w:rPr>
      <w:rFonts w:ascii="Times" w:hAnsi="Times"/>
      <w:b/>
      <w:sz w:val="27"/>
      <w:szCs w:val="20"/>
    </w:rPr>
  </w:style>
  <w:style w:type="character" w:customStyle="1" w:styleId="Heading6Char">
    <w:name w:val="Heading 6 Char"/>
    <w:basedOn w:val="DefaultParagraphFont"/>
    <w:link w:val="Heading6"/>
    <w:uiPriority w:val="9"/>
    <w:rsid w:val="007A75B9"/>
    <w:rPr>
      <w:rFonts w:ascii="Times" w:hAnsi="Times"/>
      <w:b/>
      <w:sz w:val="15"/>
      <w:szCs w:val="20"/>
    </w:rPr>
  </w:style>
  <w:style w:type="paragraph" w:styleId="ListParagraph">
    <w:name w:val="List Paragraph"/>
    <w:basedOn w:val="Normal"/>
    <w:uiPriority w:val="34"/>
    <w:qFormat/>
    <w:rsid w:val="007A75B9"/>
    <w:pPr>
      <w:ind w:left="720"/>
      <w:contextualSpacing/>
    </w:pPr>
  </w:style>
  <w:style w:type="character" w:styleId="Hyperlink">
    <w:name w:val="Hyperlink"/>
    <w:basedOn w:val="DefaultParagraphFont"/>
    <w:uiPriority w:val="99"/>
    <w:semiHidden/>
    <w:unhideWhenUsed/>
    <w:rsid w:val="007A75B9"/>
    <w:rPr>
      <w:color w:val="0000FF" w:themeColor="hyperlink"/>
      <w:u w:val="single"/>
    </w:rPr>
  </w:style>
  <w:style w:type="paragraph" w:styleId="NormalWeb">
    <w:name w:val="Normal (Web)"/>
    <w:basedOn w:val="Normal"/>
    <w:uiPriority w:val="99"/>
    <w:rsid w:val="007A75B9"/>
    <w:pPr>
      <w:spacing w:beforeLines="1" w:afterLines="1"/>
    </w:pPr>
    <w:rPr>
      <w:rFonts w:ascii="Times" w:hAnsi="Times" w:cs="Times New Roman"/>
      <w:sz w:val="20"/>
      <w:szCs w:val="20"/>
    </w:rPr>
  </w:style>
  <w:style w:type="character" w:styleId="Strong">
    <w:name w:val="Strong"/>
    <w:basedOn w:val="DefaultParagraphFont"/>
    <w:uiPriority w:val="22"/>
    <w:rsid w:val="007A75B9"/>
    <w:rPr>
      <w:b/>
    </w:rPr>
  </w:style>
  <w:style w:type="character" w:customStyle="1" w:styleId="articlepublicationdatecnt">
    <w:name w:val="articlepublicationdatecnt"/>
    <w:basedOn w:val="DefaultParagraphFont"/>
    <w:rsid w:val="007A75B9"/>
  </w:style>
  <w:style w:type="character" w:customStyle="1" w:styleId="apple-converted-space">
    <w:name w:val="apple-converted-space"/>
    <w:basedOn w:val="DefaultParagraphFont"/>
    <w:rsid w:val="007A75B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des.iccsafe.org/public/public/chapter/content/9997/" TargetMode="External"/><Relationship Id="rId6" Type="http://schemas.openxmlformats.org/officeDocument/2006/relationships/hyperlink" Target="http://www.nfpa.org/About-NFPA/NFPA-overview/History-of-NFPA" TargetMode="External"/><Relationship Id="rId7" Type="http://schemas.openxmlformats.org/officeDocument/2006/relationships/hyperlink" Target="http://www.fireengineering.com/articles/print/volume-160/issue-1/departments/fire-commentary/sprinklers-interpreting-the-statistics.html" TargetMode="External"/><Relationship Id="rId8" Type="http://schemas.openxmlformats.org/officeDocument/2006/relationships/hyperlink" Target="http://www.nfpa.org/Public-Education/Campaigns/Fire-Sprinkler-Initiative/Legislation-and-adoptions/Sprinkler-requiremen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1288</Words>
  <Characters>7342</Characters>
  <Application>Microsoft Macintosh Word</Application>
  <DocSecurity>0</DocSecurity>
  <Lines>61</Lines>
  <Paragraphs>14</Paragraphs>
  <ScaleCrop>false</ScaleCrop>
  <Company>Anderson Valley High School</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Gold</dc:creator>
  <cp:keywords/>
  <cp:lastModifiedBy>Stephanie Gold</cp:lastModifiedBy>
  <cp:revision>6</cp:revision>
  <dcterms:created xsi:type="dcterms:W3CDTF">2018-01-17T04:28:00Z</dcterms:created>
  <dcterms:modified xsi:type="dcterms:W3CDTF">2018-01-17T05:32:00Z</dcterms:modified>
</cp:coreProperties>
</file>